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Narrow Service Scope and Client Welcome Pack</w:t>
      </w:r>
    </w:p>
    <w:p>
      <w:pPr>
        <w:jc w:val="center"/>
      </w:pPr>
      <w:r>
        <w:rPr>
          <w:i/>
          <w:color w:val="3D4560"/>
        </w:rPr>
        <w:t>Client-facing setup, pricing and monthly workflow templates</w:t>
      </w:r>
    </w:p>
    <w:p>
      <w:pPr>
        <w:pStyle w:val="Heading1"/>
      </w:pPr>
      <w:r>
        <w:t>Narrow bookkeeping-only service scope</w:t>
      </w:r>
    </w:p>
    <w:p>
      <w:r>
        <w:t>This is the client-facing operating scope. It keeps Jayne Marie Bookkeeping out of risky work that belongs with an accountant, tax adviser or specialist.</w:t>
      </w:r>
    </w:p>
    <w:p>
      <w:pPr>
        <w:pStyle w:val="Heading1"/>
      </w:pPr>
      <w:r>
        <w:t>Launch offer</w:t>
      </w:r>
    </w:p>
    <w:p>
      <w:r>
        <w:t>Monthly bookkeeping for sole traders and small limited companies using Xero, including reconciliations, ledger processing, receipt organisation, basic reports and VAT support where agreed. Jayne Marie Bookkeeping charges a standard hourly rate of £30 per hour.</w:t>
      </w:r>
    </w:p>
    <w:p>
      <w:pPr>
        <w:pStyle w:val="Heading1"/>
      </w:pPr>
      <w:r>
        <w:t>Included / excluded service matrix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3346"/>
        <w:gridCol w:w="3346"/>
        <w:gridCol w:w="3346"/>
      </w:tblGrid>
      <w:tr>
        <w:tc>
          <w:tcPr>
            <w:tcW w:type="dxa" w:w="2700"/>
            <w:vAlign w:val="top"/>
            <w:shd w:fill="1C3461"/>
          </w:tcPr>
          <w:p>
            <w:r/>
            <w:r>
              <w:rPr>
                <w:b/>
                <w:color w:val="FFFFFF"/>
                <w:sz w:val="16"/>
              </w:rPr>
              <w:t>Service</w:t>
            </w:r>
          </w:p>
        </w:tc>
        <w:tc>
          <w:tcPr>
            <w:tcW w:type="dxa" w:w="1800"/>
            <w:vAlign w:val="top"/>
            <w:shd w:fill="1C3461"/>
          </w:tcPr>
          <w:p>
            <w:r/>
            <w:r>
              <w:rPr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3700"/>
            <w:vAlign w:val="top"/>
            <w:shd w:fill="1C3461"/>
          </w:tcPr>
          <w:p>
            <w:r/>
            <w:r>
              <w:rPr>
                <w:b/>
                <w:color w:val="FFFFFF"/>
                <w:sz w:val="16"/>
              </w:rPr>
              <w:t>Notes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Monthly bookkeeping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Included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Core monthly service.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Bank reconciliations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Included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Using accounting software and bank feeds/statements.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Sales and purchase ledger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Included if agreed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Clarify who raises invoices and who approves supplier bills.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Receipt processing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Included if agreed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Client must supply receipts through agreed method.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Basic management reports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Included if agreed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No business/tax advice unless separately agreed.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VAT returns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Optional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Only if competent, agreed and client approves before submission.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Payroll/CIS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Excluded at launch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Add only if competent, insured and documented.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Year-end accounts/corporation tax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Excluded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Refer to accountant.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Tax planning/personal tax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Excluded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Refer to tax adviser/accountant.</w:t>
            </w:r>
          </w:p>
        </w:tc>
      </w:tr>
      <w:tr>
        <w:tc>
          <w:tcPr>
            <w:tcW w:type="dxa" w:w="2700"/>
            <w:vAlign w:val="top"/>
            <w:shd w:fill="EEF4E6"/>
          </w:tcPr>
          <w:p>
            <w:r/>
            <w:r>
              <w:rPr>
                <w:b w:val="0"/>
                <w:sz w:val="16"/>
              </w:rPr>
              <w:t>Companies House filings/company secretarial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b w:val="0"/>
                <w:sz w:val="16"/>
              </w:rPr>
              <w:t>Excluded at launch</w:t>
            </w:r>
          </w:p>
        </w:tc>
        <w:tc>
          <w:tcPr>
            <w:tcW w:type="dxa" w:w="3700"/>
            <w:vAlign w:val="top"/>
          </w:tcPr>
          <w:p>
            <w:r/>
            <w:r>
              <w:rPr>
                <w:b w:val="0"/>
                <w:sz w:val="16"/>
              </w:rPr>
              <w:t>Avoid until process/ACSP position is understood.</w:t>
            </w:r>
          </w:p>
        </w:tc>
      </w:tr>
    </w:tbl>
    <w:p/>
    <w:p>
      <w:pPr>
        <w:pStyle w:val="Heading1"/>
      </w:pPr>
      <w:r>
        <w:t>Pricing worksheet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2509"/>
        <w:gridCol w:w="2509"/>
        <w:gridCol w:w="2509"/>
        <w:gridCol w:w="2509"/>
      </w:tblGrid>
      <w:tr>
        <w:tc>
          <w:tcPr>
            <w:tcW w:type="dxa" w:w="2200"/>
            <w:vAlign w:val="top"/>
            <w:shd w:fill="1C3461"/>
          </w:tcPr>
          <w:p>
            <w:r>
              <w:t>Work type</w:t>
            </w:r>
          </w:p>
        </w:tc>
        <w:tc>
          <w:tcPr>
            <w:tcW w:type="dxa" w:w="1800"/>
            <w:vAlign w:val="top"/>
            <w:shd w:fill="1C3461"/>
          </w:tcPr>
          <w:p>
            <w:r>
              <w:t>Charging basis</w:t>
            </w:r>
          </w:p>
        </w:tc>
        <w:tc>
          <w:tcPr>
            <w:tcW w:type="dxa" w:w="2700"/>
            <w:vAlign w:val="top"/>
            <w:shd w:fill="1C3461"/>
          </w:tcPr>
          <w:p>
            <w:r>
              <w:t>What affects time</w:t>
            </w:r>
          </w:p>
        </w:tc>
        <w:tc>
          <w:tcPr>
            <w:tcW w:type="dxa" w:w="1500"/>
            <w:vAlign w:val="top"/>
            <w:shd w:fill="1C3461"/>
          </w:tcPr>
          <w:p>
            <w:r>
              <w:t>Notes</w:t>
            </w:r>
          </w:p>
        </w:tc>
      </w:tr>
      <w:tr>
        <w:tc>
          <w:tcPr>
            <w:tcW w:type="dxa" w:w="2200"/>
            <w:vAlign w:val="top"/>
            <w:shd w:fill="EEF4E6"/>
          </w:tcPr>
          <w:p>
            <w:r>
              <w:t>Routine monthly bookkeeping</w:t>
            </w:r>
          </w:p>
        </w:tc>
        <w:tc>
          <w:tcPr>
            <w:tcW w:type="dxa" w:w="1800"/>
            <w:vAlign w:val="top"/>
          </w:tcPr>
          <w:p>
            <w:r>
              <w:t>£30/hour</w:t>
            </w:r>
          </w:p>
        </w:tc>
        <w:tc>
          <w:tcPr>
            <w:tcW w:type="dxa" w:w="2700"/>
            <w:vAlign w:val="top"/>
          </w:tcPr>
          <w:p>
            <w:r>
              <w:t>Transaction volume, record quality, bank feeds, receipts and client response times</w:t>
            </w:r>
          </w:p>
        </w:tc>
        <w:tc>
          <w:tcPr>
            <w:tcW w:type="dxa" w:w="1500"/>
            <w:vAlign w:val="top"/>
          </w:tcPr>
          <w:p>
            <w:r>
              <w:t>Estimate after review</w:t>
            </w:r>
          </w:p>
        </w:tc>
      </w:tr>
      <w:tr>
        <w:tc>
          <w:tcPr>
            <w:tcW w:type="dxa" w:w="2200"/>
            <w:vAlign w:val="top"/>
            <w:shd w:fill="EEF4E6"/>
          </w:tcPr>
          <w:p>
            <w:r>
              <w:t>VAT support where agreed</w:t>
            </w:r>
          </w:p>
        </w:tc>
        <w:tc>
          <w:tcPr>
            <w:tcW w:type="dxa" w:w="1800"/>
            <w:vAlign w:val="top"/>
          </w:tcPr>
          <w:p>
            <w:r>
              <w:t>£30/hour</w:t>
            </w:r>
          </w:p>
        </w:tc>
        <w:tc>
          <w:tcPr>
            <w:tcW w:type="dxa" w:w="2700"/>
            <w:vAlign w:val="top"/>
          </w:tcPr>
          <w:p>
            <w:r>
              <w:t>VAT status, VAT scheme, number of transactions and quality of supporting records</w:t>
            </w:r>
          </w:p>
        </w:tc>
        <w:tc>
          <w:tcPr>
            <w:tcW w:type="dxa" w:w="1500"/>
            <w:vAlign w:val="top"/>
          </w:tcPr>
          <w:p>
            <w:r>
              <w:t>Client approval required before submission</w:t>
            </w:r>
          </w:p>
        </w:tc>
      </w:tr>
      <w:tr>
        <w:tc>
          <w:tcPr>
            <w:tcW w:type="dxa" w:w="2200"/>
            <w:vAlign w:val="top"/>
            <w:shd w:fill="EEF4E6"/>
          </w:tcPr>
          <w:p>
            <w:r>
              <w:t>Catch-up bookkeeping</w:t>
            </w:r>
          </w:p>
        </w:tc>
        <w:tc>
          <w:tcPr>
            <w:tcW w:type="dxa" w:w="1800"/>
            <w:vAlign w:val="top"/>
          </w:tcPr>
          <w:p>
            <w:r>
              <w:t>£30/hour</w:t>
            </w:r>
          </w:p>
        </w:tc>
        <w:tc>
          <w:tcPr>
            <w:tcW w:type="dxa" w:w="2700"/>
            <w:vAlign w:val="top"/>
          </w:tcPr>
          <w:p>
            <w:r>
              <w:t>Missing records, unreconciled accounts, historic periods and cleanup complexity</w:t>
            </w:r>
          </w:p>
        </w:tc>
        <w:tc>
          <w:tcPr>
            <w:tcW w:type="dxa" w:w="1500"/>
            <w:vAlign w:val="top"/>
          </w:tcPr>
          <w:p>
            <w:r>
              <w:t>Always estimate separately</w:t>
            </w:r>
          </w:p>
        </w:tc>
      </w:tr>
      <w:tr>
        <w:tc>
          <w:tcPr>
            <w:tcW w:type="dxa" w:w="2200"/>
            <w:vAlign w:val="top"/>
            <w:shd w:fill="EEF4E6"/>
          </w:tcPr>
          <w:p>
            <w:r>
              <w:t>Xero setup/support</w:t>
            </w:r>
          </w:p>
        </w:tc>
        <w:tc>
          <w:tcPr>
            <w:tcW w:type="dxa" w:w="1800"/>
            <w:vAlign w:val="top"/>
          </w:tcPr>
          <w:p>
            <w:r>
              <w:t>£30/hour</w:t>
            </w:r>
          </w:p>
        </w:tc>
        <w:tc>
          <w:tcPr>
            <w:tcW w:type="dxa" w:w="2700"/>
            <w:vAlign w:val="top"/>
          </w:tcPr>
          <w:p>
            <w:r>
              <w:t>Setup complexity, bank feeds, chart of accounts and opening records</w:t>
            </w:r>
          </w:p>
        </w:tc>
        <w:tc>
          <w:tcPr>
            <w:tcW w:type="dxa" w:w="1500"/>
            <w:vAlign w:val="top"/>
          </w:tcPr>
          <w:p>
            <w:r>
              <w:t>Only within bookkeeping scope</w:t>
            </w:r>
          </w:p>
        </w:tc>
      </w:tr>
      <w:tr>
        <w:tc>
          <w:tcPr>
            <w:tcW w:type="dxa" w:w="2200"/>
            <w:vAlign w:val="top"/>
            <w:shd w:fill="EEF4E6"/>
          </w:tcPr>
          <w:p>
            <w:r>
              <w:t>Out-of-scope work</w:t>
            </w:r>
          </w:p>
        </w:tc>
        <w:tc>
          <w:tcPr>
            <w:tcW w:type="dxa" w:w="1800"/>
            <w:vAlign w:val="top"/>
          </w:tcPr>
          <w:p>
            <w:r>
              <w:t>Not provided</w:t>
            </w:r>
          </w:p>
        </w:tc>
        <w:tc>
          <w:tcPr>
            <w:tcW w:type="dxa" w:w="2700"/>
            <w:vAlign w:val="top"/>
          </w:tcPr>
          <w:p>
            <w:r>
              <w:t>Tax planning, statutory accounts, payroll/CIS unless separately agreed, legal/investment advice</w:t>
            </w:r>
          </w:p>
        </w:tc>
        <w:tc>
          <w:tcPr>
            <w:tcW w:type="dxa" w:w="1500"/>
            <w:vAlign w:val="top"/>
          </w:tcPr>
          <w:p>
            <w:r>
              <w:t>Refer to accountant/specialist</w:t>
            </w:r>
          </w:p>
        </w:tc>
      </w:tr>
    </w:tbl>
    <w:p/>
    <w:p>
      <w:pPr>
        <w:pStyle w:val="Heading1"/>
      </w:pPr>
      <w:r>
        <w:t>Client welcome email template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10037"/>
      </w:tblGrid>
      <w:tr>
        <w:tc>
          <w:tcPr>
            <w:tcW w:type="dxa" w:w="10037"/>
            <w:vAlign w:val="top"/>
            <w:shd w:fill="F8FAFC"/>
          </w:tcPr>
          <w:p>
            <w:r>
              <w:t>Subject: Welcome to Jayne Marie Bookkeeping - setup details needed</w:t>
              <w:br/>
              <w:br/>
              <w:t>Hi [Client Name],</w:t>
              <w:br/>
              <w:br/>
              <w:t>Thank you for choosing Jayne Marie Bookkeeping. Before I can start work, I need to complete the normal setup checks and agree the scope of work. Please send/provide the items below.</w:t>
              <w:br/>
              <w:br/>
              <w:t>1. Signed engagement letter</w:t>
              <w:br/>
              <w:t>2. ID and proof of address for the relevant person(s)</w:t>
              <w:br/>
              <w:t>3. Company number and director/PSC details if you trade through a company</w:t>
              <w:br/>
              <w:t>4. Access to Xero</w:t>
              <w:br/>
              <w:t>5. Bank statements or bank feed access</w:t>
              <w:br/>
              <w:t>6. Recent invoices, bills and receipts</w:t>
              <w:br/>
              <w:t>7. VAT details if VAT registered</w:t>
              <w:br/>
              <w:t>8. Confirmation of the first period you want me to work on</w:t>
              <w:br/>
              <w:br/>
              <w:t>Work can start once onboarding, AML checks and payment setup are complete.</w:t>
              <w:br/>
              <w:br/>
              <w:t>Kind regards,</w:t>
              <w:br/>
              <w:t>Jayne Marie Clarke</w:t>
              <w:br/>
              <w:t>Jayne Marie Bookkeeping</w:t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Monthly bookkeeping workflow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3346"/>
        <w:gridCol w:w="3346"/>
        <w:gridCol w:w="3346"/>
      </w:tblGrid>
      <w:tr>
        <w:tc>
          <w:tcPr>
            <w:tcW w:type="dxa" w:w="8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Step</w:t>
            </w:r>
          </w:p>
        </w:tc>
        <w:tc>
          <w:tcPr>
            <w:tcW w:type="dxa" w:w="42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Task</w:t>
            </w:r>
          </w:p>
        </w:tc>
        <w:tc>
          <w:tcPr>
            <w:tcW w:type="dxa" w:w="32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Evidence / output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Collect records by agreed monthly deadline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Client file / receipt software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Import/review bank feed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Accounting software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Categorise transactions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Bookkeeping records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Query unclear items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Query log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Reconcile bank accounts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Reconciliation report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Review VAT treatment if included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VAT workings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7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Send monthly report/summary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PDF/email/report</w:t>
            </w:r>
          </w:p>
        </w:tc>
      </w:tr>
      <w:tr>
        <w:tc>
          <w:tcPr>
            <w:tcW w:type="dxa" w:w="8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8</w:t>
            </w:r>
          </w:p>
        </w:tc>
        <w:tc>
          <w:tcPr>
            <w:tcW w:type="dxa" w:w="4200"/>
            <w:vAlign w:val="top"/>
          </w:tcPr>
          <w:p>
            <w:r/>
            <w:r>
              <w:rPr>
                <w:b w:val="0"/>
                <w:sz w:val="17"/>
              </w:rPr>
              <w:t>Update AML/client risk notes if something unusual appears</w:t>
            </w:r>
          </w:p>
        </w:tc>
        <w:tc>
          <w:tcPr>
            <w:tcW w:type="dxa" w:w="3200"/>
            <w:vAlign w:val="top"/>
          </w:tcPr>
          <w:p>
            <w:r/>
            <w:r>
              <w:rPr>
                <w:b w:val="0"/>
                <w:sz w:val="17"/>
              </w:rPr>
              <w:t>AML file note</w:t>
            </w:r>
          </w:p>
        </w:tc>
      </w:tr>
    </w:tbl>
    <w:p/>
    <w:p>
      <w:pPr>
        <w:pStyle w:val="Heading1"/>
      </w:pPr>
      <w:r>
        <w:t>Client records request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3346"/>
        <w:gridCol w:w="3346"/>
        <w:gridCol w:w="3346"/>
      </w:tblGrid>
      <w:tr>
        <w:tc>
          <w:tcPr>
            <w:tcW w:type="dxa" w:w="9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Needed</w:t>
            </w:r>
          </w:p>
        </w:tc>
        <w:tc>
          <w:tcPr>
            <w:tcW w:type="dxa" w:w="57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11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Received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Bank statements / bank feed access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Sales invoices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Purchase invoices/bills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Receipts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Loan/finance statements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VAT registration details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Opening balances / previous records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700"/>
            <w:vAlign w:val="top"/>
          </w:tcPr>
          <w:p>
            <w:r/>
            <w:r>
              <w:rPr>
                <w:b w:val="0"/>
                <w:sz w:val="17"/>
              </w:rPr>
              <w:t>Payroll/CIS reports if relevant and only if in scope</w:t>
            </w:r>
          </w:p>
        </w:tc>
        <w:tc>
          <w:tcPr>
            <w:tcW w:type="dxa" w:w="11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</w:tbl>
    <w:p/>
    <w:p>
      <w:pPr>
        <w:pStyle w:val="Heading1"/>
      </w:pPr>
      <w:r>
        <w:t>Source notes</w:t>
      </w:r>
    </w:p>
    <w:p>
      <w:pPr>
        <w:pStyle w:val="ListBullet"/>
      </w:pPr>
      <w:r>
        <w:t>This scope is deliberately narrow to reduce professional risk and avoid unlicensed/out-of-scope services.</w:t>
      </w:r>
    </w:p>
    <w:sectPr w:rsidR="00FC693F" w:rsidRPr="0006063C" w:rsidSect="00034616">
      <w:headerReference w:type="default" r:id="rId9"/>
      <w:footerReference w:type="default" r:id="rId10"/>
      <w:pgSz w:w="11909" w:h="16834"/>
      <w:pgMar w:top="936" w:right="936" w:bottom="936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6B7280"/>
        <w:sz w:val="15"/>
      </w:rPr>
      <w:t>Template for implementation - adapt before use. Not legal advice.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1C3461"/>
        <w:sz w:val="18"/>
      </w:rPr>
      <w:t>Jayne Marie Bookkeeping</w:t>
    </w:r>
    <w:r>
      <w:t xml:space="preserve">  |  </w:t>
    </w:r>
    <w:r>
      <w:rPr>
        <w:color w:val="6B7280"/>
        <w:sz w:val="16"/>
      </w:rPr>
      <w:t>Client-facing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A1A2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C346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6B8C3E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C346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C346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